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заключения о стоимости восстановления после залива</w:t>
      </w:r>
    </w:p>
    <w:p>
      <w:pPr>
        <w:pStyle w:val="Subtitle"/>
      </w:pPr>
      <w:r>
        <w:t>Структура заключения специалиста и условный расчет одной комнаты</w:t>
      </w:r>
    </w:p>
    <w:p>
      <w:pPr>
        <w:jc w:val="both"/>
      </w:pPr>
      <w:r>
        <w:rPr>
          <w:b w:val="0"/>
        </w:rPr>
        <w:t>Этот образец показывает, как связать повреждение с необходимой работой и стоимостью. Помещения, документы, повреждения и расценки условные. Исследование квартиры не проводилось; образец не подтверждает ущерб, чью-либо ответственность или право на выплату.</w:t>
      </w:r>
    </w:p>
    <w:p>
      <w:pPr>
        <w:pStyle w:val="Heading1"/>
      </w:pPr>
      <w:r>
        <w:t>1 Задача и границы исследования</w:t>
      </w:r>
    </w:p>
    <w:p>
      <w:pPr>
        <w:jc w:val="both"/>
      </w:pPr>
      <w:r>
        <w:rPr>
          <w:b w:val="0"/>
        </w:rPr>
        <w:t>Рассматривается квартира А с повреждением отделки одной комнаты. Задача условного исследования - определить состав и стоимость работ, необходимых для восстановления отделки аналогичного потребительского уровня. Установление источника воды, юридическая ответственность и оценка мебели в задачу не входят.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18"/>
        <w:gridCol w:w="6236"/>
      </w:tblGrid>
      <w:tr>
        <w:trPr>
          <w:tblHeader/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1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>Показатель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1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>Данные образца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Объект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Комната 4,0 x 3,0 м в квартире А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Высота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2,70 м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Площадь пола и потолка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12,00 м²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Восстанавливаемая стена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Одна плоскость 4,0 x 2,70 м без проемов - 10,80 м²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Прежняя отделка</w:t>
            </w:r>
          </w:p>
        </w:tc>
        <w:tc>
          <w:tcPr>
            <w:tcW w:type="dxa" w:w="623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Окрашенный потолок, обои, ламинат с подложкой и плинтусом</w:t>
            </w:r>
          </w:p>
        </w:tc>
      </w:tr>
    </w:tbl>
    <w:p>
      <w:pPr>
        <w:spacing w:after="0"/>
      </w:pPr>
    </w:p>
    <w:p>
      <w:pPr>
        <w:pStyle w:val="Heading1"/>
      </w:pPr>
      <w:r>
        <w:t>2 Исходные материалы</w:t>
      </w:r>
    </w:p>
    <w:p>
      <w:pPr>
        <w:jc w:val="both"/>
      </w:pPr>
      <w:r>
        <w:rPr>
          <w:b w:val="0"/>
        </w:rPr>
        <w:t>Для такого исследования нужны акт о событии и повреждениях, исходные фотографии, сведения о прежней отделке, план или замеры помещений, уточнения о срочных работах. В настоящем образце эти материалы не являются реальными документами: их содержание задано условиями примера.</w:t>
      </w:r>
    </w:p>
    <w:p>
      <w:pPr>
        <w:jc w:val="both"/>
      </w:pPr>
      <w:r>
        <w:rPr>
          <w:b w:val="0"/>
        </w:rPr>
        <w:t>При выполнении работы указывают фактически полученные материалы, даты и источник каждого документа. Отсутствующие измерения не заменяют утверждением о проведенном осмотре. Если исследование проводится по документам, это прямо отражают в заключении.</w:t>
      </w:r>
    </w:p>
    <w:p>
      <w:r>
        <w:br w:type="page"/>
      </w:r>
    </w:p>
    <w:p>
      <w:pPr>
        <w:pStyle w:val="Heading1"/>
      </w:pPr>
      <w:r>
        <w:t>3 Помещения и повреждения</w:t>
      </w:r>
    </w:p>
    <w:p>
      <w:pPr>
        <w:jc w:val="both"/>
      </w:pPr>
      <w:r>
        <w:rPr>
          <w:b w:val="0"/>
        </w:rPr>
        <w:t>По условиям образца в комнате имеются следы намокания и отслоение потолочной отделки, отслоившиеся обои на одной стене и разбухшие кромки ламината. Коридор размером 2,0 x 2,0 м не поврежден и в расчет не включен. Другие помещения и имущество не рассматриваются.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3628"/>
        <w:gridCol w:w="3912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1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>Поверхность</w:t>
            </w:r>
          </w:p>
        </w:tc>
        <w:tc>
          <w:tcPr>
            <w:tcW w:type="dxa" w:w="362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1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>Повреждение по условиям примера</w:t>
            </w:r>
          </w:p>
        </w:tc>
        <w:tc>
          <w:tcPr>
            <w:tcW w:type="dxa" w:w="391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1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>Граница восстановления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Потолок</w:t>
            </w:r>
          </w:p>
        </w:tc>
        <w:tc>
          <w:tcPr>
            <w:tcW w:type="dxa" w:w="362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Непрочный слой и отслоение на участке 3,0 м²</w:t>
            </w:r>
          </w:p>
        </w:tc>
        <w:tc>
          <w:tcPr>
            <w:tcW w:type="dxa" w:w="391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Подготовка поврежденного участка; грунтование и окраска потолка 12,0 м²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Стена</w:t>
            </w:r>
          </w:p>
        </w:tc>
        <w:tc>
          <w:tcPr>
            <w:tcW w:type="dxa" w:w="362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Отслоившиеся обои и следы намокания на части плоскости</w:t>
            </w:r>
          </w:p>
        </w:tc>
        <w:tc>
          <w:tcPr>
            <w:tcW w:type="dxa" w:w="391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Одна непрерывная плоскость 10,8 м²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Пол</w:t>
            </w:r>
          </w:p>
        </w:tc>
        <w:tc>
          <w:tcPr>
            <w:tcW w:type="dxa" w:w="362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Разбухание кромок ламината; локальная замена в данном примере принята технически невозможной</w:t>
            </w:r>
          </w:p>
        </w:tc>
        <w:tc>
          <w:tcPr>
            <w:tcW w:type="dxa" w:w="391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Покрытие и подложка 12,0 м²; плинтус 13,2 м</w:t>
            </w:r>
          </w:p>
        </w:tc>
      </w:tr>
    </w:tbl>
    <w:p>
      <w:pPr>
        <w:spacing w:after="0"/>
      </w:pPr>
    </w:p>
    <w:p>
      <w:pPr>
        <w:pStyle w:val="Heading1"/>
      </w:pPr>
      <w:r>
        <w:t>4 Обоснование объема работ</w:t>
      </w:r>
    </w:p>
    <w:p>
      <w:pPr>
        <w:jc w:val="both"/>
      </w:pPr>
      <w:r>
        <w:rPr>
          <w:b w:val="0"/>
        </w:rPr>
        <w:t>Потолок. Непрочный отделочный слой снимается на участке 3,0 м² с последующей подготовкой основания. Финишная окраска принята на всей непрерывной поверхности площадью 12,0 м², чтобы восстановить однородный вид. В настоящем исследовании возможность и результат локальной окраски должны быть проверены отдельно.</w:t>
      </w:r>
    </w:p>
    <w:p>
      <w:pPr>
        <w:jc w:val="both"/>
      </w:pPr>
      <w:r>
        <w:rPr>
          <w:b w:val="0"/>
        </w:rPr>
        <w:t>Стена. Площадь восстановления принята 4,0 x 2,70 = 10,80 м². Условие примера: подобрать существующее покрытие и выполнить незаметное соединение на поврежденном участке нельзя. Поэтому учитывается одна непрерывная плоскость, а не все стены квартиры. Такой вывод в реальной работе нужно подтвердить материалами и техническим объяснением.</w:t>
      </w:r>
    </w:p>
    <w:p>
      <w:pPr>
        <w:jc w:val="both"/>
      </w:pPr>
      <w:r>
        <w:rPr>
          <w:b w:val="0"/>
        </w:rPr>
        <w:t>Пол. По условиям примера локальная замена поврежденных элементов не обеспечивает восстановление покрытия. Принят демонтаж и монтаж покрытия на площади комнаты 12,0 м². Длина плинтуса: 2 x (4,0 + 3,0) - 0,8 = 13,2 м, с исключением дверного проема.</w:t>
      </w:r>
    </w:p>
    <w:p>
      <w:pPr>
        <w:jc w:val="both"/>
      </w:pPr>
      <w:r>
        <w:rPr>
          <w:b w:val="0"/>
        </w:rPr>
        <w:t>Скрытое состояние стяжки, электрики и несущих конструкций не исследовалось и в расчет не включено. Если при обследовании или демонтаже обнаруживаются дополнительные повреждения, их фиксируют и обосновывают отдельно.</w:t>
      </w:r>
    </w:p>
    <w:p>
      <w:r>
        <w:br w:type="page"/>
      </w:r>
    </w:p>
    <w:p>
      <w:pPr>
        <w:pStyle w:val="Heading1"/>
      </w:pPr>
      <w:r>
        <w:t>5 Подробный условный расчет</w:t>
      </w:r>
    </w:p>
    <w:p>
      <w:pPr>
        <w:jc w:val="both"/>
      </w:pPr>
      <w:r>
        <w:rPr>
          <w:b w:val="0"/>
        </w:rPr>
        <w:t>Расценки ниже заданы только для объяснения арифметики. Они не являются рыночными ценами Твери, предложением подрядчика или стоимостью услуг экспертного центра. В действительном заключении для каждой расценки указывают проверяемый источник, дату и состав цены.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92"/>
        <w:gridCol w:w="1417"/>
        <w:gridCol w:w="1531"/>
        <w:gridCol w:w="1814"/>
      </w:tblGrid>
      <w:tr>
        <w:trPr>
          <w:tblHeader/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1"/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b/>
                <w:sz w:val="22"/>
              </w:rPr>
              <w:t>Работы и материалы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1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Количество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1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Цена за ед ₽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1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Сумма ₽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Удаление непрочного потолочного слоя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3 м²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220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660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Подготовка поврежденного потолочного основания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3 м²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580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1 740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Грунтование и окраска потолка с материалами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12 м²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790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9 480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Снятие обоев со стены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10,8 м²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180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1 944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Подготовка стены с материалами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10,8 м²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650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7 020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Обои и оклейка одной стены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10,8 м²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960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10 368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Демонтаж поврежденного напольного покрытия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12 м²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320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3 840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Ламинат, подложка и монтаж покрытия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12 м²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2 450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29 400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Плинтус с комплектующими и монтажом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13,2 м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480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6 336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Удаление отходов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 усл.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3 000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3 000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Доставка материалов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 усл.</w:t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1 800</w:t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1 800</w:t>
            </w:r>
          </w:p>
        </w:tc>
      </w:tr>
      <w:tr>
        <w:trPr>
          <w:cantSplit/>
        </w:trPr>
        <w:tc>
          <w:tcPr>
            <w:tcW w:type="dxa" w:w="459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/>
                <w:sz w:val="22"/>
              </w:rPr>
              <w:t>Итого</w:t>
            </w:r>
          </w:p>
        </w:tc>
        <w:tc>
          <w:tcPr>
            <w:tcW w:type="dxa" w:w="141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53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type="dxa" w:w="181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/>
                <w:sz w:val="22"/>
              </w:rPr>
              <w:t>75 588</w:t>
            </w:r>
          </w:p>
        </w:tc>
      </w:tr>
    </w:tbl>
    <w:p>
      <w:pPr>
        <w:spacing w:after="0"/>
      </w:pPr>
    </w:p>
    <w:p>
      <w:pPr>
        <w:jc w:val="both"/>
      </w:pPr>
      <w:r>
        <w:rPr>
          <w:b w:val="0"/>
        </w:rPr>
        <w:t>Включенные материалы не учитываются повторно в отдельных строках. Отходы и доставка показаны отдельными условными позициями; в реальной смете нужно проверить, не входят ли они уже в расценки подрядчика.</w:t>
      </w:r>
    </w:p>
    <w:p>
      <w:pPr>
        <w:jc w:val="both"/>
      </w:pPr>
      <w:r>
        <w:rPr>
          <w:b w:val="0"/>
        </w:rPr>
        <w:t>Проверка групп: потолок - 11 880 ₽; стена - 19 332 ₽; пол и плинтус - 39 576 ₽; сопутствующие работы - 4 800 ₽. Общая сумма - 75 588 ₽.</w:t>
      </w:r>
    </w:p>
    <w:p>
      <w:r>
        <w:br w:type="page"/>
      </w:r>
    </w:p>
    <w:p>
      <w:pPr>
        <w:pStyle w:val="Heading1"/>
      </w:pPr>
      <w:r>
        <w:t>6 Вывод и ограничения</w:t>
      </w:r>
    </w:p>
    <w:p>
      <w:pPr>
        <w:jc w:val="both"/>
      </w:pPr>
      <w:r>
        <w:rPr>
          <w:b w:val="0"/>
        </w:rPr>
        <w:t>В условном примере требуется восстановление потолочной отделки комнаты, обоев на одной непрерывной стене и напольного покрытия с плинтусом. При принятых площадях, составе работ и условных расценках стоимость составляет 75 588 ₽. Эта сумма иллюстрирует способ расчета и не является выводом об ущербе реального объекта.</w:t>
      </w:r>
    </w:p>
    <w:p>
      <w:pPr>
        <w:jc w:val="both"/>
      </w:pPr>
      <w:r>
        <w:rPr>
          <w:b w:val="0"/>
        </w:rPr>
        <w:t>Для настоящего заключения нужно подтвердить факт и состав повреждений, связь с рассматриваемым событием, исходные размеры, технологию и источники стоимости. Изменение этих данных может изменить результат. Последствия для скрытых конструкций, мебели и техники в данном образце не определяются.</w:t>
      </w:r>
    </w:p>
    <w:p>
      <w:pPr>
        <w:jc w:val="both"/>
      </w:pPr>
      <w:r>
        <w:rPr>
          <w:b w:val="0"/>
        </w:rPr>
        <w:t>Расчет стоимости не устанавливает юридическую виновность и не гарантирует взыскание. Полная стоимость восстановления и сумма страховой выплаты могут различаться из-за условий полиса; страховой спор требует отдельной проверки договора и порядка обращения.</w:t>
      </w:r>
    </w:p>
    <w:p>
      <w:pPr>
        <w:pStyle w:val="Heading1"/>
      </w:pPr>
      <w:r>
        <w:t>7 Как использовать готовое исследование</w:t>
      </w:r>
    </w:p>
    <w:p>
      <w:pPr>
        <w:jc w:val="both"/>
      </w:pPr>
      <w:r>
        <w:rPr>
          <w:b w:val="0"/>
        </w:rPr>
        <w:t>Сверьте объект, дату события и перечень повреждений с исходными материалами. Проверьте, что каждый вывод можно связать с документом, фотографией, замером или расчетом. По спорной позиции запросите пояснение автора. В претензии и суде техническое заключение рассматривается вместе с другими доказательствами.</w:t>
      </w:r>
    </w:p>
    <w:p>
      <w:pPr>
        <w:jc w:val="both"/>
      </w:pPr>
      <w:r>
        <w:rPr>
          <w:b w:val="0"/>
        </w:rPr>
        <w:t>Этот образец показывает заключение специалиста. Он не заменяет отчет об оценке по Федеральному закону № 135-ФЗ или заключение судебного эксперта по определению суда. Вопросы, состав документа и требования к исполнителю согласуют под конкретную задачу.</w:t>
      </w:r>
    </w:p>
    <w:p>
      <w:pPr>
        <w:pStyle w:val="Heading1"/>
      </w:pPr>
      <w:r>
        <w:t>8 Правовые ориентиры</w:t>
      </w:r>
    </w:p>
    <w:p>
      <w:pPr>
        <w:ind w:firstLine="0"/>
      </w:pPr>
      <w:hyperlink r:id="rId11">
        <w:r>
          <w:rPr>
            <w:color w:val="000000"/>
            <w:u w:val="single"/>
          </w:rPr>
          <w:t>Статья 15 ГК РФ - состав убытков</w:t>
        </w:r>
      </w:hyperlink>
    </w:p>
    <w:p>
      <w:pPr>
        <w:ind w:firstLine="0"/>
      </w:pPr>
      <w:hyperlink r:id="rId12">
        <w:r>
          <w:rPr>
            <w:color w:val="000000"/>
            <w:u w:val="single"/>
          </w:rPr>
          <w:t>Статья 1064 ГК РФ - основания возмещения вреда</w:t>
        </w:r>
      </w:hyperlink>
    </w:p>
    <w:p>
      <w:pPr>
        <w:ind w:firstLine="0"/>
      </w:pPr>
      <w:hyperlink r:id="rId13">
        <w:r>
          <w:rPr>
            <w:color w:val="000000"/>
            <w:u w:val="single"/>
          </w:rPr>
          <w:t>Статья 67 ГПК РФ - оценка доказательств</w:t>
        </w:r>
      </w:hyperlink>
    </w:p>
    <w:p>
      <w:pPr>
        <w:jc w:val="both"/>
      </w:pPr>
      <w:r>
        <w:rPr>
          <w:b w:val="0"/>
        </w:rPr>
        <w:t>Нормы приведены как общие ориентиры. Их применение, состав требований и доказательства проверяются по обстоятельствам конкретного спора. Подписей, печатей, реальных сведений о заказчике или номеров выполненных исследований в образце нет.</w:t>
      </w:r>
    </w:p>
    <w:p>
      <w:pPr>
        <w:ind w:firstLine="0"/>
      </w:pPr>
      <w:hyperlink r:id="rId14">
        <w:r>
          <w:rPr>
            <w:color w:val="000000"/>
            <w:u w:val="single"/>
          </w:rPr>
          <w:t>Инструкции и документы проекта Затопил.рф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right"/>
    </w:pPr>
    <w:r>
      <w:rPr>
        <w:sz w:val="18"/>
      </w:rPr>
      <w:t xml:space="preserve">Условные данные /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</w:pPr>
    <w:r>
      <w:rPr>
        <w:rFonts w:ascii="Times New Roman" w:hAnsi="Times New Roman"/>
        <w:sz w:val="18"/>
      </w:rPr>
      <w:t>ЗАТОПИЛ.РФ / ОБРАЗЕЦ / УСЛОВНЫЙ РАСЧЕТ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  <w:ind w:firstLine="709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ind w:firstLine="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ind w:firstLine="0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ind w:firstLin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  <w:ind w:firstLine="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onsultant.ru/document/cons_doc_LAW_5142/4734407fbf4d5eec5306840f8b75b994e5d57090/" TargetMode="External"/><Relationship Id="rId12" Type="http://schemas.openxmlformats.org/officeDocument/2006/relationships/hyperlink" Target="https://www.consultant.ru/document/cons_doc_LAW_9027/c511835e25e63740cf185038b1ad056526f814e9/" TargetMode="External"/><Relationship Id="rId13" Type="http://schemas.openxmlformats.org/officeDocument/2006/relationships/hyperlink" Target="https://www.consultant.ru/document/cons_doc_LAW_39570/d70ec545bc657d409c92ce89d801f20ced32e1d2/" TargetMode="External"/><Relationship Id="rId14" Type="http://schemas.openxmlformats.org/officeDocument/2006/relationships/hyperlink" Target="https://xn--80anemngt.xn--p1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заключения о стоимости восстановления после залива</dc:title>
  <dc:subject>Условный расчет и структура документа</dc:subject>
  <dc:creator>Проект Затопил.рф</dc:creator>
  <cp:keywords>образец, условные данные, залив, расчет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